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Sindaco</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Attribuzione e revoca incarichi al personale dirigente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Linee programmatiche di mandato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Indirizzi generali e obiettivi strategici in materia di prevenzione della corruzione e di trasparenza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Direttive e indirizzi in ordine al funzionamento e all'attivita' amministrativa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Nomina e revoca assessori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Nomina Segretario generale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Designazione e revoca dei rappresentanti del Comune presso enti, aziende e istituzioni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Nomina Organismo di valutazione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Coordinamento Assessori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Ordinanze in qualita' di Ufficiale di governo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Accesso art. 43, co. 2 del T.U.E.L. da parte dei consiglieri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Costituzione di ufficio posto alle dirette dipendenze del sindaco ai sensi dell'art. 90, TUEL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Accordi integrativi o sostitutivi del provvedimento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Sindaco</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